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Timeline for Board Member Elections</w:t>
      </w:r>
    </w:p>
    <w:p w:rsidR="00000000" w:rsidDel="00000000" w:rsidP="00000000" w:rsidRDefault="00000000" w:rsidRPr="00000000" w14:paraId="00000002">
      <w:pPr>
        <w:rPr/>
      </w:pPr>
      <w:r w:rsidDel="00000000" w:rsidR="00000000" w:rsidRPr="00000000">
        <w:rPr>
          <w:rtl w:val="0"/>
        </w:rPr>
        <w:t xml:space="preserve">Updated October, 2024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September through November</w:t>
      </w:r>
      <w:r w:rsidDel="00000000" w:rsidR="00000000" w:rsidRPr="00000000">
        <w:rPr>
          <w:rtl w:val="0"/>
        </w:rPr>
        <w:t xml:space="preserve">: </w:t>
      </w:r>
      <w:hyperlink r:id="rId6">
        <w:r w:rsidDel="00000000" w:rsidR="00000000" w:rsidRPr="00000000">
          <w:rPr>
            <w:color w:val="1155cc"/>
            <w:u w:val="single"/>
            <w:rtl w:val="0"/>
          </w:rPr>
          <w:t xml:space="preserve">new member suggestions</w:t>
        </w:r>
      </w:hyperlink>
      <w:r w:rsidDel="00000000" w:rsidR="00000000" w:rsidRPr="00000000">
        <w:rPr>
          <w:rtl w:val="0"/>
        </w:rPr>
        <w:t xml:space="preserve"> are open to current Board members. As of October, 2024, the Board has 11 members, with one member leaving in March. Therefore, we may add up to two new members in March, 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December: </w:t>
      </w:r>
      <w:r w:rsidDel="00000000" w:rsidR="00000000" w:rsidRPr="00000000">
        <w:rPr>
          <w:rtl w:val="0"/>
        </w:rPr>
        <w:t xml:space="preserve">G&amp;N committee contacts potential members and shares </w:t>
      </w:r>
      <w:hyperlink r:id="rId7">
        <w:r w:rsidDel="00000000" w:rsidR="00000000" w:rsidRPr="00000000">
          <w:rPr>
            <w:color w:val="1155cc"/>
            <w:u w:val="single"/>
            <w:rtl w:val="0"/>
          </w:rPr>
          <w:t xml:space="preserve">information sheet</w:t>
        </w:r>
      </w:hyperlink>
      <w:r w:rsidDel="00000000" w:rsidR="00000000" w:rsidRPr="00000000">
        <w:rPr>
          <w:rtl w:val="0"/>
        </w:rPr>
        <w:t xml:space="preserve"> , </w:t>
      </w:r>
      <w:hyperlink r:id="rId8">
        <w:r w:rsidDel="00000000" w:rsidR="00000000" w:rsidRPr="00000000">
          <w:rPr>
            <w:color w:val="1155cc"/>
            <w:u w:val="single"/>
            <w:rtl w:val="0"/>
          </w:rPr>
          <w:t xml:space="preserve">bylaws</w:t>
        </w:r>
      </w:hyperlink>
      <w:r w:rsidDel="00000000" w:rsidR="00000000" w:rsidRPr="00000000">
        <w:rPr>
          <w:rtl w:val="0"/>
        </w:rPr>
        <w:t xml:space="preserve">, and </w:t>
      </w:r>
      <w:hyperlink r:id="rId9">
        <w:r w:rsidDel="00000000" w:rsidR="00000000" w:rsidRPr="00000000">
          <w:rPr>
            <w:color w:val="1155cc"/>
            <w:u w:val="single"/>
            <w:rtl w:val="0"/>
          </w:rPr>
          <w:t xml:space="preserve">application</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January 30:</w:t>
      </w:r>
      <w:r w:rsidDel="00000000" w:rsidR="00000000" w:rsidRPr="00000000">
        <w:rPr>
          <w:rtl w:val="0"/>
        </w:rPr>
        <w:t xml:space="preserve"> Application materials are due to the State Director. She will share applications with the G&amp;N Committee, who will determine which candidates will be presented to the full Board at the February meeting. The State Director will compile candidate information into a packet.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February 6:</w:t>
      </w:r>
      <w:r w:rsidDel="00000000" w:rsidR="00000000" w:rsidRPr="00000000">
        <w:rPr>
          <w:rtl w:val="0"/>
        </w:rPr>
        <w:t xml:space="preserve"> Full Board votes on slate of candidates to present to chapters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February 19</w:t>
      </w:r>
      <w:r w:rsidDel="00000000" w:rsidR="00000000" w:rsidRPr="00000000">
        <w:rPr>
          <w:rtl w:val="0"/>
        </w:rPr>
        <w:t xml:space="preserve">:  Slate of qualified candidates are presented to chapters for review. According to our bylaws, </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t xml:space="preserve">“</w:t>
      </w:r>
      <w:r w:rsidDel="00000000" w:rsidR="00000000" w:rsidRPr="00000000">
        <w:rPr>
          <w:rFonts w:ascii="Calibri" w:cs="Calibri" w:eastAsia="Calibri" w:hAnsi="Calibri"/>
          <w:sz w:val="24"/>
          <w:szCs w:val="24"/>
          <w:rtl w:val="0"/>
        </w:rPr>
        <w:t xml:space="preserve">Additional nominations for Directors may be made by five or more Chapters of the Corporation by submitting the names of nominees in writing to the Board</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President at least 10 days before the Annual Business Meeting.”</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additional nominees will be added to the slate of candidates. </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March 15:</w:t>
      </w:r>
      <w:r w:rsidDel="00000000" w:rsidR="00000000" w:rsidRPr="00000000">
        <w:rPr>
          <w:rtl w:val="0"/>
        </w:rPr>
        <w:t xml:space="preserve"> Delegates will vote on Board candidates at the State Leadership Conference Business Meeting.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By March 22, the Board must meet to elect officers for the coming year; newly elected members are encouraged to complete the self-paced Board Orientation and review the </w:t>
      </w:r>
      <w:hyperlink r:id="rId10">
        <w:r w:rsidDel="00000000" w:rsidR="00000000" w:rsidRPr="00000000">
          <w:rPr>
            <w:color w:val="1155cc"/>
            <w:u w:val="single"/>
            <w:rtl w:val="0"/>
          </w:rPr>
          <w:t xml:space="preserve">New</w:t>
        </w:r>
      </w:hyperlink>
      <w:hyperlink r:id="rId11">
        <w:r w:rsidDel="00000000" w:rsidR="00000000" w:rsidRPr="00000000">
          <w:rPr>
            <w:color w:val="1155cc"/>
            <w:u w:val="single"/>
            <w:rtl w:val="0"/>
          </w:rPr>
          <w:t xml:space="preserve"> Board</w:t>
        </w:r>
      </w:hyperlink>
      <w:hyperlink r:id="rId12">
        <w:r w:rsidDel="00000000" w:rsidR="00000000" w:rsidRPr="00000000">
          <w:rPr>
            <w:color w:val="1155cc"/>
            <w:u w:val="single"/>
            <w:rtl w:val="0"/>
          </w:rPr>
          <w:t xml:space="preserve"> Member Handbook </w:t>
        </w:r>
      </w:hyperlink>
      <w:r w:rsidDel="00000000" w:rsidR="00000000" w:rsidRPr="00000000">
        <w:rPr>
          <w:rtl w:val="0"/>
        </w:rPr>
        <w:t xml:space="preserve">by this meeting. </w:t>
      </w:r>
    </w:p>
    <w:p w:rsidR="00000000" w:rsidDel="00000000" w:rsidP="00000000" w:rsidRDefault="00000000" w:rsidRPr="00000000" w14:paraId="00000014">
      <w:pPr>
        <w:widowControl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40" w:lineRule="auto"/>
        <w:ind w:left="360" w:firstLine="0"/>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JDfVAu_aJUOIQFqqDOdFco3MnpE1leUb/edit?usp=sharing&amp;ouid=106560507256891716910&amp;rtpof=true&amp;sd=true" TargetMode="External"/><Relationship Id="rId10" Type="http://schemas.openxmlformats.org/officeDocument/2006/relationships/hyperlink" Target="https://docs.google.com/document/d/1JDfVAu_aJUOIQFqqDOdFco3MnpE1leUb/edit?usp=sharing&amp;ouid=106560507256891716910&amp;rtpof=true&amp;sd=true" TargetMode="External"/><Relationship Id="rId12" Type="http://schemas.openxmlformats.org/officeDocument/2006/relationships/hyperlink" Target="https://docs.google.com/document/d/1JDfVAu_aJUOIQFqqDOdFco3MnpE1leUb/edit?usp=sharing&amp;ouid=106560507256891716910&amp;rtpof=true&amp;sd=true" TargetMode="External"/><Relationship Id="rId9" Type="http://schemas.openxmlformats.org/officeDocument/2006/relationships/hyperlink" Target="https://docs.google.com/document/d/1OmBrEswNG2zJDcFB7UtVZ_Q9NZXbsELp/edit?usp=sharing&amp;ouid=106560507256891716910&amp;rtpof=true&amp;sd=true" TargetMode="External"/><Relationship Id="rId5" Type="http://schemas.openxmlformats.org/officeDocument/2006/relationships/styles" Target="styles.xml"/><Relationship Id="rId6" Type="http://schemas.openxmlformats.org/officeDocument/2006/relationships/hyperlink" Target="https://docs.google.com/document/d/1Da-Lf3dQa9DinQ9Ff7yqck4epqWYradzF-LXVyshqdU/edit?usp=sharing" TargetMode="External"/><Relationship Id="rId7" Type="http://schemas.openxmlformats.org/officeDocument/2006/relationships/hyperlink" Target="https://docs.google.com/document/d/1KX03rEkQ8ySxy7AxdqBegtJmxg6S_H0xEO1NOATI61s/edit?usp=sharing" TargetMode="External"/><Relationship Id="rId8" Type="http://schemas.openxmlformats.org/officeDocument/2006/relationships/hyperlink" Target="https://docs.google.com/document/d/1mJ5EElirO35Ry08PBjPSB23AOOyWGFaj/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